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5A56B" w14:textId="77777777" w:rsidR="00005E04" w:rsidRDefault="00005E04" w:rsidP="00005E04">
      <w:pPr>
        <w:pStyle w:val="ConsPlusTitle"/>
        <w:jc w:val="center"/>
        <w:outlineLvl w:val="1"/>
      </w:pPr>
      <w:r>
        <w:t>VIII. Критерии доступности и качества медицинской помощи</w:t>
      </w:r>
    </w:p>
    <w:p w14:paraId="6BE7D43B" w14:textId="77777777" w:rsidR="00005E04" w:rsidRDefault="00005E04" w:rsidP="00005E04">
      <w:pPr>
        <w:pStyle w:val="ConsPlusNormal"/>
        <w:ind w:firstLine="540"/>
        <w:jc w:val="both"/>
      </w:pPr>
    </w:p>
    <w:p w14:paraId="37C5DDE2" w14:textId="77777777" w:rsidR="00005E04" w:rsidRDefault="00005E04" w:rsidP="00005E04">
      <w:pPr>
        <w:pStyle w:val="ConsPlusNormal"/>
        <w:ind w:firstLine="540"/>
        <w:jc w:val="both"/>
      </w:pPr>
      <w:r>
        <w:t>Критериями доступности медицинской помощи являются:</w:t>
      </w:r>
    </w:p>
    <w:p w14:paraId="3CDE0A15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удовлетворенность населения доступностью медицинской помощи (процент от числа опрошенных);</w:t>
      </w:r>
    </w:p>
    <w:p w14:paraId="2D359F72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расходов на оказание медицинской помощи в условиях дневных стационаров в общих расходах на Программу;</w:t>
      </w:r>
    </w:p>
    <w:p w14:paraId="7D32ADC1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расходов на оказание медицинской помощи в амбулаторных условиях в неотложной форме в общих расходах на Программу;</w:t>
      </w:r>
    </w:p>
    <w:p w14:paraId="1C40C10C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ОМС;</w:t>
      </w:r>
    </w:p>
    <w:p w14:paraId="7B3AAD9E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</w:p>
    <w:p w14:paraId="15237273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число пациентов, которым оказана паллиативная медицинская помощь по месту их фактического пребывания за пределами города Севастополя, на территории которого указанные пациенты зарегистрированы по месту жительства;</w:t>
      </w:r>
    </w:p>
    <w:p w14:paraId="0BEA568F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число пациентов, зарегистрированных на территории города Севастополя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соглашения;</w:t>
      </w:r>
    </w:p>
    <w:p w14:paraId="380768F1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заболеваниями;</w:t>
      </w:r>
    </w:p>
    <w:p w14:paraId="0F51B9D9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наблюдения;</w:t>
      </w:r>
    </w:p>
    <w:p w14:paraId="4D537A92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граждан, обеспеченных лекарственными препаратами, в общем количестве льготных категорий граждан;</w:t>
      </w:r>
    </w:p>
    <w:p w14:paraId="16920A7C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крови;</w:t>
      </w:r>
    </w:p>
    <w:p w14:paraId="7BA8E98C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помощь;</w:t>
      </w:r>
    </w:p>
    <w:p w14:paraId="1A148A09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оперативная активность на одну занятую должность врача хирургической специальности.</w:t>
      </w:r>
    </w:p>
    <w:p w14:paraId="21003D95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Критериями качества медицинской помощи являются:</w:t>
      </w:r>
    </w:p>
    <w:p w14:paraId="21474D74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</w:p>
    <w:p w14:paraId="47732A31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</w:p>
    <w:p w14:paraId="2826657B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</w:p>
    <w:p w14:paraId="640FE4B1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lastRenderedPageBreak/>
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осмотры;</w:t>
      </w:r>
    </w:p>
    <w:p w14:paraId="50C53F4E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новообразованиями;</w:t>
      </w:r>
    </w:p>
    <w:p w14:paraId="3A1A677B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</w:p>
    <w:p w14:paraId="2200B2DA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проведению;</w:t>
      </w:r>
    </w:p>
    <w:p w14:paraId="0FDA0E85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помощи;</w:t>
      </w:r>
    </w:p>
    <w:p w14:paraId="3B6BB612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 острым инфарктом миокарда, которым проведена тромболитическая терапия в первые 12 часов от начала заболевания, в общем количестве пациентов с острым инфарктом миокарда, имеющих показания к ее проведению;</w:t>
      </w:r>
    </w:p>
    <w:p w14:paraId="2E349B65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Программой;</w:t>
      </w:r>
    </w:p>
    <w:p w14:paraId="333A36C7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 острыми цереброваскулярными болезнями, госпитализированных в первые шесть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</w:p>
    <w:p w14:paraId="5B5435E6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шесть часов от начала заболевания;</w:t>
      </w:r>
    </w:p>
    <w:p w14:paraId="48A4AEF1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</w:p>
    <w:p w14:paraId="70D82D16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</w:p>
    <w:p w14:paraId="3046A785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помощи;</w:t>
      </w:r>
    </w:p>
    <w:p w14:paraId="21955CFB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лиц репродуктивного возраста, прошедших диспансеризацию для оценки репродуктивного здоровья женщин и мужчин (отдельно по мужчинам и женщинам);</w:t>
      </w:r>
    </w:p>
    <w:p w14:paraId="7A1CBD7B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 xml:space="preserve">доля пациентов, обследованных перед применением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</w:t>
      </w:r>
      <w:hyperlink r:id="rId4" w:tooltip="&quot;Клинические рекомендации &quot;Женское бесплодие&quot; (одобрены Минздравом России) {КонсультантПлюс}">
        <w:r>
          <w:rPr>
            <w:color w:val="0000FF"/>
          </w:rPr>
          <w:t>рекомендаций</w:t>
        </w:r>
      </w:hyperlink>
      <w:r>
        <w:t xml:space="preserve"> "Женское бесплодие";</w:t>
      </w:r>
    </w:p>
    <w:p w14:paraId="3B9E0FA5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число циклов экстракорпорального оплодотворения, выполняемых медицинской организацией в течение одного года;</w:t>
      </w:r>
    </w:p>
    <w:p w14:paraId="39CAFF70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случаев экстракорпорального оплодотворения, по результатам которого у женщины наступила беременность;</w:t>
      </w:r>
    </w:p>
    <w:p w14:paraId="3BB64501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 xml:space="preserve"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</w:t>
      </w:r>
      <w:r>
        <w:lastRenderedPageBreak/>
        <w:t>эмбрионов);</w:t>
      </w:r>
    </w:p>
    <w:p w14:paraId="5A81FE9E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Программы;</w:t>
      </w:r>
    </w:p>
    <w:p w14:paraId="4811E9A3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год;</w:t>
      </w:r>
    </w:p>
    <w:p w14:paraId="723CDDD1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обеспечение;</w:t>
      </w:r>
    </w:p>
    <w:p w14:paraId="24167F55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"гипертоническая болезнь", процентов в год;</w:t>
      </w:r>
    </w:p>
    <w:p w14:paraId="0E1FA2A5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охват диспансерным наблюдением граждан, состоящих на учете в медицинской организации с диагнозом "сахарный диабет", процентов в год;</w:t>
      </w:r>
    </w:p>
    <w:p w14:paraId="6EAF4158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количество пациентов с гепатитом C, получивших противовирусную терапию, на 100 тыс. населения в год;</w:t>
      </w:r>
    </w:p>
    <w:p w14:paraId="546AD004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ветеранов боевых действий, получивших паллиативную медицинскую помощь и (или) лечебное (энтеральное) питание, из числа нуждающихся;</w:t>
      </w:r>
    </w:p>
    <w:p w14:paraId="20BB1DD2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пациентов, прооперированных в течение двух дней после поступления в стационар по поводу перелома шейки бедра, от всех прооперированных по поводу указанного диагноза;</w:t>
      </w:r>
    </w:p>
    <w:p w14:paraId="4573B823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прикрепленное население, как отношение годового фактического объема посещений врача к плановому (нормативному) объему посещений;</w:t>
      </w:r>
    </w:p>
    <w:p w14:paraId="036BEF0F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количество пациентов старше 70 лет, направленных к врачу-гериатру после проведенного профилактического медицинского осмотра и диспансеризации определенных групп взрослого населения, равное 10%;</w:t>
      </w:r>
    </w:p>
    <w:p w14:paraId="5EBECBD8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старше 65 лет, взятых под диспансерное наблюдение с диагнозами "остеопороз с патологическим переломом" (код по МКБ-10: М80), "остеопороз без патологического перелома" (код по МКБ-10: М81);</w:t>
      </w:r>
    </w:p>
    <w:p w14:paraId="589EFC8D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"остеопороз" и назначена базисная и патогенетическая терапия остеопороза в соответствии с клиническими рекомендациями;</w:t>
      </w:r>
    </w:p>
    <w:p w14:paraId="664B9A51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населения;</w:t>
      </w:r>
    </w:p>
    <w:p w14:paraId="7D6C013F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старше 65 лет, направленных к врачу-неврологу или врачу-психиатру после проведенного профилактического медицинского осмотра и диспансеризации определенных групп взрослого населения;</w:t>
      </w:r>
    </w:p>
    <w:p w14:paraId="3378B656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пациентов старше 65 лет, направленных к врачу-оториноларингологу или врачу - сурдологу-оториноларингологу после проведенного профилактического медицинского осмотра и диспансеризации определенных групп взрослого населения.</w:t>
      </w:r>
    </w:p>
    <w:p w14:paraId="38F7E32D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динамики, а также могут быть установлены дополнительные критерии доступности и качества медицинской помощи.</w:t>
      </w:r>
    </w:p>
    <w:p w14:paraId="18D2F856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Кроме того, Департаментом здравоохранения города Севастополя проводится оценка эффективности деятельности медицинских организаций (на основе выполнения функции врачебной должности, показателей использования коечного фонда).</w:t>
      </w:r>
    </w:p>
    <w:p w14:paraId="708DBD8D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lastRenderedPageBreak/>
        <w:t>Оценка достижения критериев доступности и качества медицинской помощи осуществляется Департаментом здравоохранения города Севастополя один раз в полгода с направлением соответствующих данных в Министерство здравоохранения Российской Федерации.</w:t>
      </w:r>
    </w:p>
    <w:p w14:paraId="08ADC0EA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Критериями доступности медицинской помощи, оказываемой федеральными медицинскими организациями, являются:</w:t>
      </w:r>
    </w:p>
    <w:p w14:paraId="0CCE79B3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объема средств, направленных на оказание специализированной, в том числе высокотехнологичной, медицинской помощи с коэффициентом относительной затратоемкости, равным 2 и более, в общем объеме средств, направленных на оказание специализированной, в том числе высокотехнологичной, медицинской помощи, за вычетом объема средств, направленных на оказание специализированной медицинской помощи в экстренной форме с коэффициентом относительной затратоемкости, равным менее 2 (для образовательных организаций высшего образования, осуществляющих оказание медицинской помощи в 2026 - 2028 годах, - не менее 65 процентов, для остальных федеральных медицинских организаций: в 2026 году - не менее 75 процентов, в 2027 и 2028 годах - не менее 80 процентов (за исключением объема средств, направленных на оказание специализированной, в том числе высокотехнологичной, медицинской помощи, в отношении федеральных медицинских организаций, в том числе их структурных подразделений, расположенных на территории закрытого административно-территориального образования, или являющихся единственными медицинскими организациями в муниципальном образовании, оказывающими специализированную медицинскую помощь, или единственными медицинскими организациями, оказывающими высокотехнологичную медицинскую помощь);</w:t>
      </w:r>
    </w:p>
    <w:p w14:paraId="681F6D57" w14:textId="77777777" w:rsidR="00005E04" w:rsidRDefault="00005E04" w:rsidP="00005E04">
      <w:pPr>
        <w:pStyle w:val="ConsPlusNormal"/>
        <w:spacing w:before="200"/>
        <w:ind w:firstLine="540"/>
        <w:jc w:val="both"/>
      </w:pPr>
      <w:r>
        <w:t>доля доходов за счет средств обязательного медицинского страхования в общем объеме доходов федеральной медицинской организации (целевое значение для медицинских организаций, оказывающих медицинскую помощь при заболеваниях и состояниях, входящих в базовую программу ОМС, - не менее 20 процентов).</w:t>
      </w:r>
    </w:p>
    <w:p w14:paraId="6D196DE2" w14:textId="77777777" w:rsidR="00F217E0" w:rsidRDefault="00005E04">
      <w:bookmarkStart w:id="0" w:name="_GoBack"/>
      <w:bookmarkEnd w:id="0"/>
    </w:p>
    <w:sectPr w:rsidR="00F2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FE4"/>
    <w:rsid w:val="00005E04"/>
    <w:rsid w:val="00992FE4"/>
    <w:rsid w:val="00B27718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8FA9F-B9FE-410B-BA9F-AFBB721A7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5E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05E0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815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1770</Words>
  <Characters>10091</Characters>
  <Application>Microsoft Office Word</Application>
  <DocSecurity>0</DocSecurity>
  <Lines>84</Lines>
  <Paragraphs>23</Paragraphs>
  <ScaleCrop>false</ScaleCrop>
  <Company/>
  <LinksUpToDate>false</LinksUpToDate>
  <CharactersWithSpaces>11838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Колунова Анастасия Денисовна</dc:creator>
  <cp:keywords/>
  <dc:description/>
  <cp:lastModifiedBy>Колунова Анастасия Денисовна</cp:lastModifiedBy>
  <cp:revision>2</cp:revision>
  <dcterms:created xsi:type="dcterms:W3CDTF">2026-03-19T11:15:00Z</dcterms:created>
  <dcterms:modified xsi:type="dcterms:W3CDTF">2026-03-19T11:16:00Z</dcterms:modified>
</cp:coreProperties>
</file>